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6C" w:rsidRPr="00CB526C" w:rsidRDefault="00CB526C" w:rsidP="00CB526C">
      <w:pPr>
        <w:spacing w:after="100" w:afterAutospacing="1" w:line="240" w:lineRule="auto"/>
        <w:outlineLvl w:val="0"/>
        <w:rPr>
          <w:rFonts w:ascii="Arial" w:eastAsia="Times New Roman" w:hAnsi="Arial" w:cs="Arial"/>
          <w:b/>
          <w:bCs/>
          <w:caps/>
          <w:color w:val="0068B3"/>
          <w:kern w:val="36"/>
          <w:sz w:val="48"/>
          <w:szCs w:val="48"/>
          <w:lang w:eastAsia="cs-CZ"/>
        </w:rPr>
      </w:pPr>
      <w:r w:rsidRPr="00CB526C">
        <w:rPr>
          <w:rFonts w:ascii="Arial" w:eastAsia="Times New Roman" w:hAnsi="Arial" w:cs="Arial"/>
          <w:b/>
          <w:bCs/>
          <w:caps/>
          <w:color w:val="0068B3"/>
          <w:kern w:val="36"/>
          <w:sz w:val="48"/>
          <w:szCs w:val="48"/>
          <w:lang w:eastAsia="cs-CZ"/>
        </w:rPr>
        <w:t>Prohlášení o ochraně osobních údajů</w:t>
      </w:r>
    </w:p>
    <w:p w:rsidR="00CB526C" w:rsidRPr="00CB526C" w:rsidRDefault="00CB526C" w:rsidP="00CB526C">
      <w:pPr>
        <w:spacing w:after="100" w:afterAutospacing="1" w:line="240" w:lineRule="auto"/>
        <w:outlineLvl w:val="2"/>
        <w:rPr>
          <w:rFonts w:ascii="Arial" w:eastAsia="Times New Roman" w:hAnsi="Arial" w:cs="Arial"/>
          <w:b/>
          <w:bCs/>
          <w:color w:val="0068B3"/>
          <w:sz w:val="27"/>
          <w:szCs w:val="27"/>
          <w:lang w:eastAsia="cs-CZ"/>
        </w:rPr>
      </w:pPr>
      <w:r w:rsidRPr="00CB526C">
        <w:rPr>
          <w:rFonts w:ascii="Arial" w:eastAsia="Times New Roman" w:hAnsi="Arial" w:cs="Arial"/>
          <w:b/>
          <w:bCs/>
          <w:color w:val="0068B3"/>
          <w:sz w:val="27"/>
          <w:szCs w:val="27"/>
          <w:lang w:eastAsia="cs-CZ"/>
        </w:rPr>
        <w:t>PROHLÁŠENÍ O ZPRACOVÁNÍ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dle NAŘÍZENÍ EVROPSKÉHO PARLAMENTU A RADY (EU) 2016/679 ze dne 27. dubna 2016 o ochraně fyzických osob v souvislosti se zpracováním osobních údajů a o volném pohybu těchto údajů a o zrušení směrnice 95/46/ES (obecné nařízení o ochraně osobních údajů) a poučení subjektů údajů (dále jen „GDPR“)</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I. Správce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xml:space="preserve">Mateřská </w:t>
      </w:r>
      <w:r w:rsidR="00131D1B">
        <w:rPr>
          <w:rFonts w:ascii="Arial" w:eastAsia="Times New Roman" w:hAnsi="Arial" w:cs="Arial"/>
          <w:color w:val="4D4D4D"/>
          <w:sz w:val="27"/>
          <w:szCs w:val="27"/>
          <w:lang w:eastAsia="cs-CZ"/>
        </w:rPr>
        <w:t>škola Dnešice, okres Plzeň-jih, příspěvková organizace</w:t>
      </w:r>
    </w:p>
    <w:p w:rsidR="00CB526C" w:rsidRPr="00CB526C" w:rsidRDefault="00131D1B" w:rsidP="00CB526C">
      <w:pPr>
        <w:spacing w:after="100" w:afterAutospacing="1" w:line="240" w:lineRule="auto"/>
        <w:rPr>
          <w:rFonts w:ascii="Arial" w:eastAsia="Times New Roman" w:hAnsi="Arial" w:cs="Arial"/>
          <w:color w:val="4D4D4D"/>
          <w:sz w:val="27"/>
          <w:szCs w:val="27"/>
          <w:lang w:eastAsia="cs-CZ"/>
        </w:rPr>
      </w:pPr>
      <w:r>
        <w:rPr>
          <w:rFonts w:ascii="Arial" w:eastAsia="Times New Roman" w:hAnsi="Arial" w:cs="Arial"/>
          <w:color w:val="4D4D4D"/>
          <w:sz w:val="27"/>
          <w:szCs w:val="27"/>
          <w:lang w:eastAsia="cs-CZ"/>
        </w:rPr>
        <w:t>Dnešice 110</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r w:rsidR="00131D1B">
        <w:rPr>
          <w:rFonts w:ascii="Arial" w:eastAsia="Times New Roman" w:hAnsi="Arial" w:cs="Arial"/>
          <w:color w:val="4D4D4D"/>
          <w:sz w:val="27"/>
          <w:szCs w:val="27"/>
          <w:lang w:eastAsia="cs-CZ"/>
        </w:rPr>
        <w:t>334 43 Dnešice</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xml:space="preserve">IČ: </w:t>
      </w:r>
      <w:r w:rsidR="00131D1B">
        <w:rPr>
          <w:rFonts w:ascii="Arial" w:eastAsia="Times New Roman" w:hAnsi="Arial" w:cs="Arial"/>
          <w:color w:val="4D4D4D"/>
          <w:sz w:val="27"/>
          <w:szCs w:val="27"/>
          <w:lang w:eastAsia="cs-CZ"/>
        </w:rPr>
        <w:t>709 958 51</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(dále jen „správce“) Vás tímto v souladu s čl. 12 GDPR informuje o zpracování Vašich osobních údajů a o Vašich právech.</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II. Rozsah zpracování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Osobní údaje jsou zpracovány v rozsahu, v jakém je příslušný subjekt údajů správci poskytl, a to v souvislosti s uzavřením smluvního či jiného právního vztahu se správcem, nebo které správce shromáždil jinak a zpracovává je v souladu s platnými právními předpisy či k plnění zákonných povinností správce.</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III. Zdroje osobních údajů</w:t>
      </w:r>
    </w:p>
    <w:p w:rsidR="00CB526C" w:rsidRPr="00CB526C" w:rsidRDefault="00CB526C" w:rsidP="00CB526C">
      <w:pPr>
        <w:numPr>
          <w:ilvl w:val="0"/>
          <w:numId w:val="1"/>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od zákonných zástupců</w:t>
      </w:r>
    </w:p>
    <w:p w:rsidR="00CB526C" w:rsidRPr="00CB526C" w:rsidRDefault="00CB526C" w:rsidP="00CB526C">
      <w:pPr>
        <w:numPr>
          <w:ilvl w:val="0"/>
          <w:numId w:val="1"/>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od stávajících zaměstnanců</w:t>
      </w:r>
    </w:p>
    <w:p w:rsidR="00CB526C" w:rsidRPr="00CB526C" w:rsidRDefault="00CB526C" w:rsidP="00CB526C">
      <w:pPr>
        <w:numPr>
          <w:ilvl w:val="0"/>
          <w:numId w:val="1"/>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od bývalých zaměstnanců</w:t>
      </w:r>
    </w:p>
    <w:p w:rsidR="00CB526C" w:rsidRPr="00CB526C" w:rsidRDefault="00CB526C" w:rsidP="00CB526C">
      <w:pPr>
        <w:numPr>
          <w:ilvl w:val="0"/>
          <w:numId w:val="1"/>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lastRenderedPageBreak/>
        <w:t>přímo od subjektů údajů (e-maily, telefon, apod.)</w:t>
      </w:r>
    </w:p>
    <w:p w:rsidR="00CB526C" w:rsidRPr="00CB526C" w:rsidRDefault="00CB526C" w:rsidP="00CB526C">
      <w:pPr>
        <w:numPr>
          <w:ilvl w:val="0"/>
          <w:numId w:val="1"/>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 veřejných zdrojů (z ISVS apod.)</w:t>
      </w:r>
    </w:p>
    <w:p w:rsidR="00CB526C" w:rsidRPr="00CB526C" w:rsidRDefault="00CB526C" w:rsidP="00CB526C">
      <w:pPr>
        <w:numPr>
          <w:ilvl w:val="0"/>
          <w:numId w:val="1"/>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od jiné osoby, která je ve smluvním vztahu ke správci</w:t>
      </w:r>
    </w:p>
    <w:p w:rsidR="00CB526C" w:rsidRPr="00CB526C" w:rsidRDefault="00CB526C" w:rsidP="00CB526C">
      <w:pPr>
        <w:numPr>
          <w:ilvl w:val="0"/>
          <w:numId w:val="1"/>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od uchazeče o zaměstnání</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IV. Kategorie osobních údajů, které jsou předmětem zpracování</w:t>
      </w:r>
    </w:p>
    <w:p w:rsidR="00CB526C" w:rsidRPr="00CB526C" w:rsidRDefault="00CB526C" w:rsidP="00CB526C">
      <w:pPr>
        <w:numPr>
          <w:ilvl w:val="0"/>
          <w:numId w:val="2"/>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adresní a identifikační údaje sloužící k jednoznačné a nezaměnitelné identifikaci subjektu údajů (např. jméno, příjmení, datum a místo narození, adresa trvalého pobytu, RČ) a další osobní údaje jako např.: číslo telefonu, e-mailová adresa, adresa pro doručování, identifikátor datové schránky, státní občanství, pohlaví, stupeň podpůrných opatření, údaje obsažené v doporučení vydaném školským poradenským zařízením, závěr o zdravotní způsobilosti ke vzdělávání, zdravotní potíže mající vliv na průběh vzdělávání, údaj o zdravotní pojišťovně, údaje o předchozím vzdělání, údaje o probíhajícím vzdělání, výsledky vzdělávání, výchovná opatření a hodnocení chování, údaje o docházce a jiné obdobné informace.</w:t>
      </w:r>
    </w:p>
    <w:p w:rsidR="00CB526C" w:rsidRPr="00CB526C" w:rsidRDefault="00CB526C" w:rsidP="00CB526C">
      <w:pPr>
        <w:numPr>
          <w:ilvl w:val="0"/>
          <w:numId w:val="2"/>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popisné údaje (např. bankovní spojení)</w:t>
      </w:r>
    </w:p>
    <w:p w:rsidR="00CB526C" w:rsidRPr="00CB526C" w:rsidRDefault="00CB526C" w:rsidP="00CB526C">
      <w:pPr>
        <w:numPr>
          <w:ilvl w:val="0"/>
          <w:numId w:val="2"/>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další údaje nezbytné pro plnění zákonných povinností, smlouvy</w:t>
      </w:r>
    </w:p>
    <w:p w:rsidR="00CB526C" w:rsidRPr="00CB526C" w:rsidRDefault="00CB526C" w:rsidP="00CB526C">
      <w:pPr>
        <w:numPr>
          <w:ilvl w:val="0"/>
          <w:numId w:val="2"/>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údaje poskytnuté nad rámec příslušných zákonů zpracovávané v rámci uděleného souhlasu ze strany subjektu údajů (použití osobních údajů za účelem personálních řízení apod.)</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V. Kategorie subjektů údajů</w:t>
      </w:r>
    </w:p>
    <w:p w:rsidR="00CB526C" w:rsidRPr="00CB526C" w:rsidRDefault="00CB526C" w:rsidP="00CB526C">
      <w:pPr>
        <w:numPr>
          <w:ilvl w:val="0"/>
          <w:numId w:val="3"/>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stávající děti</w:t>
      </w:r>
    </w:p>
    <w:p w:rsidR="00CB526C" w:rsidRPr="00CB526C" w:rsidRDefault="00CB526C" w:rsidP="00CB526C">
      <w:pPr>
        <w:numPr>
          <w:ilvl w:val="0"/>
          <w:numId w:val="3"/>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bývalé děti</w:t>
      </w:r>
    </w:p>
    <w:p w:rsidR="00CB526C" w:rsidRPr="00CB526C" w:rsidRDefault="00CB526C" w:rsidP="00CB526C">
      <w:pPr>
        <w:numPr>
          <w:ilvl w:val="0"/>
          <w:numId w:val="3"/>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zákonní zástupci</w:t>
      </w:r>
    </w:p>
    <w:p w:rsidR="00CB526C" w:rsidRPr="00CB526C" w:rsidRDefault="00CB526C" w:rsidP="00CB526C">
      <w:pPr>
        <w:numPr>
          <w:ilvl w:val="0"/>
          <w:numId w:val="3"/>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stávající zaměstnanci</w:t>
      </w:r>
    </w:p>
    <w:p w:rsidR="00CB526C" w:rsidRPr="00CB526C" w:rsidRDefault="00CB526C" w:rsidP="00CB526C">
      <w:pPr>
        <w:numPr>
          <w:ilvl w:val="0"/>
          <w:numId w:val="3"/>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bývalí zaměstnanci</w:t>
      </w:r>
    </w:p>
    <w:p w:rsidR="00CB526C" w:rsidRPr="00CB526C" w:rsidRDefault="00CB526C" w:rsidP="00CB526C">
      <w:pPr>
        <w:numPr>
          <w:ilvl w:val="0"/>
          <w:numId w:val="3"/>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jiná osoba, které je ve smluvním vztahu ke správci</w:t>
      </w:r>
    </w:p>
    <w:p w:rsidR="00CB526C" w:rsidRPr="00CB526C" w:rsidRDefault="00CB526C" w:rsidP="00CB526C">
      <w:pPr>
        <w:numPr>
          <w:ilvl w:val="0"/>
          <w:numId w:val="3"/>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uchazeč o zaměstnání</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VI. Příjemci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xml:space="preserve">Osobní údaje dětí (resp. zákonných zástupců) mohou být předávány dalším příjemcům. V rámci plnění svých zákonných povinností předává Správce osobní údaje úřadům a správním orgánům stanoveným platnými právními předpisy. Jedná se zejména o MŠMT, ČŠI, OSPOD a tyto kategorie </w:t>
      </w:r>
      <w:r w:rsidRPr="00CB526C">
        <w:rPr>
          <w:rFonts w:ascii="Arial" w:eastAsia="Times New Roman" w:hAnsi="Arial" w:cs="Arial"/>
          <w:color w:val="4D4D4D"/>
          <w:sz w:val="27"/>
          <w:szCs w:val="27"/>
          <w:lang w:eastAsia="cs-CZ"/>
        </w:rPr>
        <w:lastRenderedPageBreak/>
        <w:t>příjemců: kontrolní orgány, zdravotní pojišťovny, jiné školy (v případě přestupu dítěte). V průběhu vzdělávání dítěte může též Správce předat osobní údaje dítěte organizátorovi soutěže, firmě poskytující dopravu, apod. S těmito příjemci osobních údajů je za účelem ochrany osobních údajů uzavřena smlouva o zpracování osobních údajů poskytující dostatečné záruky ochrany osobních údajů, s garancemi organizačně-technického zabezpečení těchto dat a s vymezením účelu zpracování, přičemž zpracovatelé nesmí použít údaje k jiným účelům. Příjemci osobních údajů jsou společnosti se sídlem na území České republiky, výjimečně pak se sídlem v členském státě Evropské unie nebo v tzv. bezpečných státech. K předání a zpracování osobních údajů mimo území Evropské unie a tzv. bezpečných států nedochází.</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VII. Účel zpracování osobních údajů</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Přijímání dítěte k předškolnímu  vzdělávání (zpracování přihlášky, evidenční list, rozhodnutí o přijetí)</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Evidence žáka ve školní matrice</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Export dat ze školní matriky pro MŠMT, ČŠI, kontrolní orgány</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Evidence doplňujících údajů ve školní matrice pro předávání údajů</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Uchovávání zprávy a doporučení k poskytnutí podpůrných opatření pro vzdělávání ve škole</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Evidence úrazů v knize úrazů</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Vedení záznamů v třídní knize</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Vydání výzvy, předvolání, předvedení, rozhodnutí školy k podaným žádostem žáka</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Výstupy osobních údajů a informací o průběhu vzdělávání v informačních systémech školy</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Příprava a organizace školní akce, soutěže, výstavy</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Evidence docházky dítěte</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Webová prezentace školy – zpravodajství z činnosti školy</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Doklad o seznámení se školním řádem, předpisy</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Záznam o hodnocení dítěte</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Plnění povinností vyplývajících ze školského zákona a jeho prováděcích právních předpisů popřípadě dalších obecně závazných právních předpisů</w:t>
      </w:r>
    </w:p>
    <w:p w:rsidR="00CB526C" w:rsidRPr="00CB526C" w:rsidRDefault="00CB526C" w:rsidP="00CB526C">
      <w:pPr>
        <w:numPr>
          <w:ilvl w:val="0"/>
          <w:numId w:val="4"/>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Evidence o plnění platebních povinností</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xml:space="preserve">Pro výše uvedené účely je poskytnutí osobních údajů dítěte resp. zákonných zástupců povinné a nezbytné pro splnění právní povinnosti Správce (např. školní matrika), pro splnění veřejného zájmu či výkon veřejné moci Správcem a pro účely oprávněných zájmů Správce nebo dotčené osoby (např. kamerový systém) či pro ochranu životně důležitých </w:t>
      </w:r>
      <w:r w:rsidRPr="00CB526C">
        <w:rPr>
          <w:rFonts w:ascii="Arial" w:eastAsia="Times New Roman" w:hAnsi="Arial" w:cs="Arial"/>
          <w:color w:val="4D4D4D"/>
          <w:sz w:val="27"/>
          <w:szCs w:val="27"/>
          <w:lang w:eastAsia="cs-CZ"/>
        </w:rPr>
        <w:lastRenderedPageBreak/>
        <w:t>zájmů dítěte nebo jiné osoby. Bez poskytnutí osobních údajů k těmto účelům by nebylo možné vzdělávání dětem poskytovat.</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Správce dále zpracovává osobní údaje dětí či jejich zákonných zástupců, které nejsou nezbytně nutné k plnění smlouvy nebo právních povinností, veřejného zájmu či oprávněných zájmů Správce. Tyto údaje zpracovává jen na základě písemného souhlasu subjektu údajů, jsou to zejména:</w:t>
      </w:r>
    </w:p>
    <w:p w:rsidR="00CB526C" w:rsidRPr="00CB526C" w:rsidRDefault="00CB526C" w:rsidP="00CB526C">
      <w:pPr>
        <w:numPr>
          <w:ilvl w:val="0"/>
          <w:numId w:val="5"/>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fotografování dětí pro výroční fotografie, fotografování žáků při školních akcích</w:t>
      </w:r>
    </w:p>
    <w:p w:rsidR="00CB526C" w:rsidRPr="00CB526C" w:rsidRDefault="00CB526C" w:rsidP="00CB526C">
      <w:pPr>
        <w:numPr>
          <w:ilvl w:val="0"/>
          <w:numId w:val="5"/>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zveřejňování školou pořízených fotografií dětí, výsledků soutěží a prací žáků na webu školy a sociálních sítích školy, případně v tisku</w:t>
      </w:r>
    </w:p>
    <w:p w:rsidR="00CB526C" w:rsidRPr="00CB526C" w:rsidRDefault="00CB526C" w:rsidP="00CB526C">
      <w:pPr>
        <w:numPr>
          <w:ilvl w:val="0"/>
          <w:numId w:val="5"/>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kontaktní údaje potencionálních zájemců o vzdělávání</w:t>
      </w:r>
    </w:p>
    <w:p w:rsidR="00CB526C" w:rsidRPr="00CB526C" w:rsidRDefault="00CB526C" w:rsidP="00CB526C">
      <w:pPr>
        <w:numPr>
          <w:ilvl w:val="0"/>
          <w:numId w:val="5"/>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záznamy o chování na internetových stránkách Správce získané z </w:t>
      </w:r>
      <w:proofErr w:type="spellStart"/>
      <w:r w:rsidRPr="00CB526C">
        <w:rPr>
          <w:rFonts w:ascii="Arial" w:eastAsia="Times New Roman" w:hAnsi="Arial" w:cs="Arial"/>
          <w:color w:val="4D4D4D"/>
          <w:sz w:val="27"/>
          <w:szCs w:val="27"/>
          <w:lang w:eastAsia="cs-CZ"/>
        </w:rPr>
        <w:t>cookies</w:t>
      </w:r>
      <w:proofErr w:type="spellEnd"/>
      <w:r w:rsidRPr="00CB526C">
        <w:rPr>
          <w:rFonts w:ascii="Arial" w:eastAsia="Times New Roman" w:hAnsi="Arial" w:cs="Arial"/>
          <w:color w:val="4D4D4D"/>
          <w:sz w:val="27"/>
          <w:szCs w:val="27"/>
          <w:lang w:eastAsia="cs-CZ"/>
        </w:rPr>
        <w:t xml:space="preserve"> v případě povolení </w:t>
      </w:r>
      <w:proofErr w:type="spellStart"/>
      <w:r w:rsidRPr="00CB526C">
        <w:rPr>
          <w:rFonts w:ascii="Arial" w:eastAsia="Times New Roman" w:hAnsi="Arial" w:cs="Arial"/>
          <w:color w:val="4D4D4D"/>
          <w:sz w:val="27"/>
          <w:szCs w:val="27"/>
          <w:lang w:eastAsia="cs-CZ"/>
        </w:rPr>
        <w:t>cookies</w:t>
      </w:r>
      <w:proofErr w:type="spellEnd"/>
      <w:r w:rsidRPr="00CB526C">
        <w:rPr>
          <w:rFonts w:ascii="Arial" w:eastAsia="Times New Roman" w:hAnsi="Arial" w:cs="Arial"/>
          <w:color w:val="4D4D4D"/>
          <w:sz w:val="27"/>
          <w:szCs w:val="27"/>
          <w:lang w:eastAsia="cs-CZ"/>
        </w:rPr>
        <w:t xml:space="preserve"> ve webovém prohlížeči</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Údaje zpracovávané na základě poskytnutého souhlasu slouží k propagačním účelům školy na webových stránkách Správce či v tisku, k zajištění cesty dětí do zahraničí, pro zasílání důležitých sdělení o průběhu a výsledcích vzdělávání dětí, pro identifikaci dětí/zákonného zástupce pro vstup do školních informačních systémů, vylepšení provozu internetových stránek aj. Výše uvedené osobní údaje jsou zpracovávány jen po dobu platnosti tohoto souhlasu. Souhlas subjektu údajů zůstává v platnosti po dobu vzdělávání žáka na MŠ Chlumčany, pokud není stanoveno déle nebo do doby, dokud souhlas subjekt údajů neodvolá. Pokud subjekt údajů svůj souhlas odvolá, není tím dotčeno zpracování jeho osobních údajů ze strany Správce pro jiné účely a na základě jiných právních povinností.</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VIII. Způsob zpracování a ochrany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Zpracování osobních údajů provádí správce. Zpracování je prováděno v jeho provozovnách a sídle správce jednotlivými pověřenými zaměstnanci správce, příp. zpracovatelem. Ke zpracování dochází prostřednictvím výpočetní techniky, popř. i manuálním způsobem u osobních údajů v listinné podobě za dodržení všech bezpečnostních zásad pro správu a zpracování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xml:space="preserve">Za tímto účelem přijal správce vhodné technická a organizační opatření (v souladu s článkem 25 GDPR) k zajištění ochrany osobních údajů, zejména opatření, aby nemohlo dojít k neoprávněnému nebo nahodilému přístupu k osobním údajům, jejich změně, zničení či ztrátě, neoprávněným přenosům, k jejich neoprávněnému zpracování, jakož i k jinému zneužití </w:t>
      </w:r>
      <w:r w:rsidRPr="00CB526C">
        <w:rPr>
          <w:rFonts w:ascii="Arial" w:eastAsia="Times New Roman" w:hAnsi="Arial" w:cs="Arial"/>
          <w:color w:val="4D4D4D"/>
          <w:sz w:val="27"/>
          <w:szCs w:val="27"/>
          <w:lang w:eastAsia="cs-CZ"/>
        </w:rPr>
        <w:lastRenderedPageBreak/>
        <w:t>osobních údajů. Veškeré subjekty, kterým mohou být osobní údaje zpřístupněny, respektují právo subjektů údajů na ochranu soukromí a jsou povinny postupovat dle platných právních předpisů týkajících se ochrany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Ze strany Poskytovatele nedochází k automatickému individuálnímu rozhodování (včetně profilování) ve smyslu č. 22 GDPR.</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IX. Doba zpracování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 souladu se lhůtami uvedenými v příslušných smlouvách, ve spisovém a skartačním řádu správce či v příslušných právních předpisech jde o dobu nezbytně nutnou k zajištění práv a povinností plynoucích jak ze závazkového vztahu, tak i z příslušných právních předpisů.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X. Poučení</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Správce zpracovává údaje se souhlasem subjektu údajů s výjimkou zákonem stanovených případů, kdy zpracování osobních údajů nevyžaduje souhlas subjektu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 souladu se čl. 6 odst. 1 GDPR může správce bez souhlasu subjektu údajů zpracovávat tyto údaje:</w:t>
      </w:r>
    </w:p>
    <w:p w:rsidR="00CB526C" w:rsidRPr="00CB526C" w:rsidRDefault="00CB526C" w:rsidP="00CB526C">
      <w:pPr>
        <w:numPr>
          <w:ilvl w:val="0"/>
          <w:numId w:val="6"/>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zpracování je nezbytné pro splnění smlouvy, jejíž smluvní stranou je subjekt údajů, nebo pro provedení opatření přijatých před uzavřením smlouvy na žádost tohoto subjektu údajů;</w:t>
      </w:r>
    </w:p>
    <w:p w:rsidR="00CB526C" w:rsidRPr="00CB526C" w:rsidRDefault="00CB526C" w:rsidP="00CB526C">
      <w:pPr>
        <w:numPr>
          <w:ilvl w:val="0"/>
          <w:numId w:val="6"/>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zpracování je nezbytné pro splnění právní povinnosti, která se na správce vztahuje;</w:t>
      </w:r>
    </w:p>
    <w:p w:rsidR="00CB526C" w:rsidRPr="00CB526C" w:rsidRDefault="00CB526C" w:rsidP="00CB526C">
      <w:pPr>
        <w:numPr>
          <w:ilvl w:val="0"/>
          <w:numId w:val="6"/>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zpracování je nezbytné pro ochranu životně důležitých zájmů subjektu údajů nebo jiné fyzické osoby;</w:t>
      </w:r>
    </w:p>
    <w:p w:rsidR="00CB526C" w:rsidRPr="00CB526C" w:rsidRDefault="00CB526C" w:rsidP="00CB526C">
      <w:pPr>
        <w:numPr>
          <w:ilvl w:val="0"/>
          <w:numId w:val="6"/>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zpracování je nezbytné pro splnění úkolu prováděného ve veřejném zájmu nebo při výkonu veřejné moci, kterým je pověřen správce;</w:t>
      </w:r>
    </w:p>
    <w:p w:rsidR="00CB526C" w:rsidRPr="00CB526C" w:rsidRDefault="00CB526C" w:rsidP="00CB526C">
      <w:pPr>
        <w:numPr>
          <w:ilvl w:val="0"/>
          <w:numId w:val="6"/>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131D1B" w:rsidRPr="00CB526C" w:rsidRDefault="00131D1B" w:rsidP="00CB526C">
      <w:pPr>
        <w:spacing w:after="100" w:afterAutospacing="1" w:line="240" w:lineRule="auto"/>
        <w:rPr>
          <w:rFonts w:ascii="Arial" w:eastAsia="Times New Roman" w:hAnsi="Arial" w:cs="Arial"/>
          <w:color w:val="4D4D4D"/>
          <w:sz w:val="27"/>
          <w:szCs w:val="27"/>
          <w:lang w:eastAsia="cs-CZ"/>
        </w:rPr>
      </w:pP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lastRenderedPageBreak/>
        <w:t>XI. Práva subjektů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 souladu se čl. 12 GDPR informuje správce na žádost subjektu údajů subjekt údajů o právu na přístup k osobním údajům a k následujícím informacím:</w:t>
      </w:r>
    </w:p>
    <w:p w:rsidR="00CB526C" w:rsidRPr="00CB526C" w:rsidRDefault="00CB526C" w:rsidP="00CB526C">
      <w:pPr>
        <w:numPr>
          <w:ilvl w:val="0"/>
          <w:numId w:val="7"/>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účelu zpracování,</w:t>
      </w:r>
    </w:p>
    <w:p w:rsidR="00CB526C" w:rsidRPr="00CB526C" w:rsidRDefault="00CB526C" w:rsidP="00CB526C">
      <w:pPr>
        <w:numPr>
          <w:ilvl w:val="0"/>
          <w:numId w:val="7"/>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kategorii dotčených osobních údajů,</w:t>
      </w:r>
    </w:p>
    <w:p w:rsidR="00CB526C" w:rsidRPr="00CB526C" w:rsidRDefault="00CB526C" w:rsidP="00CB526C">
      <w:pPr>
        <w:numPr>
          <w:ilvl w:val="0"/>
          <w:numId w:val="7"/>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příjemci nebo kategorie příjemců, kterým osobní údaje byly nebo budou zpřístupněny,</w:t>
      </w:r>
    </w:p>
    <w:p w:rsidR="00CB526C" w:rsidRPr="00CB526C" w:rsidRDefault="00CB526C" w:rsidP="00CB526C">
      <w:pPr>
        <w:numPr>
          <w:ilvl w:val="0"/>
          <w:numId w:val="7"/>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plánované době, po kterou budou osobní údaje uloženy,</w:t>
      </w:r>
    </w:p>
    <w:p w:rsidR="00CB526C" w:rsidRPr="00CB526C" w:rsidRDefault="00CB526C" w:rsidP="00CB526C">
      <w:pPr>
        <w:numPr>
          <w:ilvl w:val="0"/>
          <w:numId w:val="7"/>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veškeré dostupné informace o zdroji osobních údajů,</w:t>
      </w:r>
    </w:p>
    <w:p w:rsidR="00CB526C" w:rsidRPr="00CB526C" w:rsidRDefault="00CB526C" w:rsidP="00CB526C">
      <w:pPr>
        <w:numPr>
          <w:ilvl w:val="0"/>
          <w:numId w:val="7"/>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pokud nejsou získány od subjektu údajů, skutečnosti, zda dochází k automatizovanému rozhodování, včetně profilování.</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Subjekt údajů má dále právo požadovat od správce:</w:t>
      </w:r>
    </w:p>
    <w:p w:rsidR="00CB526C" w:rsidRPr="00CB526C" w:rsidRDefault="00CB526C" w:rsidP="00CB526C">
      <w:pPr>
        <w:numPr>
          <w:ilvl w:val="0"/>
          <w:numId w:val="8"/>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přístup ke svým osobním údajům dle čl. 15 GDPR,</w:t>
      </w:r>
    </w:p>
    <w:p w:rsidR="00CB526C" w:rsidRPr="00CB526C" w:rsidRDefault="00CB526C" w:rsidP="00CB526C">
      <w:pPr>
        <w:numPr>
          <w:ilvl w:val="0"/>
          <w:numId w:val="8"/>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opravu osobních údajů dle čl. 16 GDPR,</w:t>
      </w:r>
    </w:p>
    <w:p w:rsidR="00CB526C" w:rsidRPr="00CB526C" w:rsidRDefault="00CB526C" w:rsidP="00CB526C">
      <w:pPr>
        <w:numPr>
          <w:ilvl w:val="0"/>
          <w:numId w:val="8"/>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právo na výmaz, právo být zapomenut dle čl. 17 GDPR,</w:t>
      </w:r>
    </w:p>
    <w:p w:rsidR="00CB526C" w:rsidRPr="00CB526C" w:rsidRDefault="00CB526C" w:rsidP="00CB526C">
      <w:pPr>
        <w:numPr>
          <w:ilvl w:val="0"/>
          <w:numId w:val="8"/>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právo na omezení zpracování dle čl. 18 GDPR,</w:t>
      </w:r>
    </w:p>
    <w:p w:rsidR="00CB526C" w:rsidRPr="00CB526C" w:rsidRDefault="00CB526C" w:rsidP="00CB526C">
      <w:pPr>
        <w:numPr>
          <w:ilvl w:val="0"/>
          <w:numId w:val="8"/>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právo na přenositelnost údajů dle čl. 20 GDPR,</w:t>
      </w:r>
    </w:p>
    <w:p w:rsidR="00CB526C" w:rsidRPr="00CB526C" w:rsidRDefault="00CB526C" w:rsidP="00CB526C">
      <w:pPr>
        <w:numPr>
          <w:ilvl w:val="0"/>
          <w:numId w:val="8"/>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právo vznést námitku proti zpracování dle čl. 21 GDPR,</w:t>
      </w:r>
    </w:p>
    <w:p w:rsidR="00CB526C" w:rsidRPr="00CB526C" w:rsidRDefault="00CB526C" w:rsidP="00CB526C">
      <w:pPr>
        <w:numPr>
          <w:ilvl w:val="0"/>
          <w:numId w:val="8"/>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právo nebýt předmětem žádného rozhodnutí založeného výhradně na automatizovaném zpracování včetně profilování dle čl. 22 GDPR.</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w:t>
      </w:r>
    </w:p>
    <w:p w:rsidR="00CB526C" w:rsidRPr="00CB526C" w:rsidRDefault="00CB526C" w:rsidP="00CB526C">
      <w:pPr>
        <w:numPr>
          <w:ilvl w:val="0"/>
          <w:numId w:val="9"/>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Požádat správce o vysvětlení.</w:t>
      </w:r>
    </w:p>
    <w:p w:rsidR="00CB526C" w:rsidRPr="00CB526C" w:rsidRDefault="00CB526C" w:rsidP="00CB526C">
      <w:pPr>
        <w:numPr>
          <w:ilvl w:val="0"/>
          <w:numId w:val="9"/>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Požadovat, aby správce odstranil takto vzniklý stav. Zejména se může jednat o blokování, provedení opravy, doplnění nebo vymazání osobních údajů.</w:t>
      </w:r>
    </w:p>
    <w:p w:rsidR="00CB526C" w:rsidRPr="00CB526C" w:rsidRDefault="00CB526C" w:rsidP="00CB526C">
      <w:pPr>
        <w:numPr>
          <w:ilvl w:val="0"/>
          <w:numId w:val="9"/>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Je-li žádost subjektu údajů podle odstavce 1 shledána oprávněnou, správce odstraní neprodleně závadný stav.</w:t>
      </w:r>
    </w:p>
    <w:p w:rsidR="00CB526C" w:rsidRPr="00CB526C" w:rsidRDefault="00CB526C" w:rsidP="00CB526C">
      <w:pPr>
        <w:numPr>
          <w:ilvl w:val="0"/>
          <w:numId w:val="9"/>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Nevyhoví-li správce žádosti subjektu údajů podle odstavce 1, má subjekt údajů právo obrátit se přímo na dozorový úřad, tedy Úřad na ochranu osobních údajů.</w:t>
      </w:r>
    </w:p>
    <w:p w:rsidR="00CB526C" w:rsidRPr="00CB526C" w:rsidRDefault="00CB526C" w:rsidP="00CB526C">
      <w:pPr>
        <w:numPr>
          <w:ilvl w:val="0"/>
          <w:numId w:val="9"/>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Postup podle odstavce 1 nevylučuje, aby se subjekt údajů obrátil se svým podnětem na dozorový úřad přímo.</w:t>
      </w:r>
    </w:p>
    <w:p w:rsidR="00CB526C" w:rsidRPr="00CB526C" w:rsidRDefault="00CB526C" w:rsidP="00CB526C">
      <w:pPr>
        <w:numPr>
          <w:ilvl w:val="0"/>
          <w:numId w:val="9"/>
        </w:numPr>
        <w:spacing w:before="100" w:beforeAutospacing="1"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Správce má právo za poskytnutí informace požadovat přiměřenou úhradu nepřevyšující náklady nezbytné na poskytnutí informace.</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lastRenderedPageBreak/>
        <w:t>XII. Změna pravidel o ochraně osobních údajů</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 případě jakýchkoliv změn pravidel o ochraně osobních údajů, budeme tyto změny komunikovat na www stránkách. Proto je doporučujeme pravidelně kontrolovat.</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p>
    <w:p w:rsidR="00CB526C" w:rsidRPr="00CB526C" w:rsidRDefault="00CB526C" w:rsidP="00CB526C">
      <w:pPr>
        <w:spacing w:after="100" w:afterAutospacing="1" w:line="240" w:lineRule="auto"/>
        <w:outlineLvl w:val="3"/>
        <w:rPr>
          <w:rFonts w:ascii="Arial" w:eastAsia="Times New Roman" w:hAnsi="Arial" w:cs="Arial"/>
          <w:b/>
          <w:bCs/>
          <w:color w:val="0068B3"/>
          <w:sz w:val="24"/>
          <w:szCs w:val="24"/>
          <w:lang w:eastAsia="cs-CZ"/>
        </w:rPr>
      </w:pPr>
      <w:r w:rsidRPr="00CB526C">
        <w:rPr>
          <w:rFonts w:ascii="Arial" w:eastAsia="Times New Roman" w:hAnsi="Arial" w:cs="Arial"/>
          <w:b/>
          <w:bCs/>
          <w:color w:val="0068B3"/>
          <w:sz w:val="24"/>
          <w:szCs w:val="24"/>
          <w:lang w:eastAsia="cs-CZ"/>
        </w:rPr>
        <w:t>XIII. Kontaktujte nás</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V případě jakýchkoliv dotazů nebo žádostí ohledně těchto pravidel o ochraně osobních údajů nás neváhejte kontaktovat na adrese:</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xml:space="preserve">Mateřská </w:t>
      </w:r>
      <w:r w:rsidR="00131D1B">
        <w:rPr>
          <w:rFonts w:ascii="Arial" w:eastAsia="Times New Roman" w:hAnsi="Arial" w:cs="Arial"/>
          <w:color w:val="4D4D4D"/>
          <w:sz w:val="27"/>
          <w:szCs w:val="27"/>
          <w:lang w:eastAsia="cs-CZ"/>
        </w:rPr>
        <w:t>škola Dnešice, okres Plzeň-jih, příspěvková organizace</w:t>
      </w:r>
    </w:p>
    <w:p w:rsidR="00CB526C" w:rsidRPr="00CB526C" w:rsidRDefault="00131D1B" w:rsidP="00CB526C">
      <w:pPr>
        <w:spacing w:after="100" w:afterAutospacing="1" w:line="240" w:lineRule="auto"/>
        <w:rPr>
          <w:rFonts w:ascii="Arial" w:eastAsia="Times New Roman" w:hAnsi="Arial" w:cs="Arial"/>
          <w:color w:val="4D4D4D"/>
          <w:sz w:val="27"/>
          <w:szCs w:val="27"/>
          <w:lang w:eastAsia="cs-CZ"/>
        </w:rPr>
      </w:pPr>
      <w:r>
        <w:rPr>
          <w:rFonts w:ascii="Arial" w:eastAsia="Times New Roman" w:hAnsi="Arial" w:cs="Arial"/>
          <w:color w:val="4D4D4D"/>
          <w:sz w:val="27"/>
          <w:szCs w:val="27"/>
          <w:lang w:eastAsia="cs-CZ"/>
        </w:rPr>
        <w:t>Dnešice 110</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w:t>
      </w:r>
      <w:r w:rsidR="00131D1B">
        <w:rPr>
          <w:rFonts w:ascii="Arial" w:eastAsia="Times New Roman" w:hAnsi="Arial" w:cs="Arial"/>
          <w:color w:val="4D4D4D"/>
          <w:sz w:val="27"/>
          <w:szCs w:val="27"/>
          <w:lang w:eastAsia="cs-CZ"/>
        </w:rPr>
        <w:t>334 43 Dnešice</w:t>
      </w:r>
    </w:p>
    <w:p w:rsidR="00CB526C" w:rsidRPr="00CB526C" w:rsidRDefault="00CB526C" w:rsidP="00CB526C">
      <w:pPr>
        <w:spacing w:after="100" w:afterAutospacing="1" w:line="240" w:lineRule="auto"/>
        <w:rPr>
          <w:rFonts w:ascii="Arial" w:eastAsia="Times New Roman" w:hAnsi="Arial" w:cs="Arial"/>
          <w:color w:val="4D4D4D"/>
          <w:sz w:val="27"/>
          <w:szCs w:val="27"/>
          <w:lang w:eastAsia="cs-CZ"/>
        </w:rPr>
      </w:pPr>
      <w:r w:rsidRPr="00CB526C">
        <w:rPr>
          <w:rFonts w:ascii="Arial" w:eastAsia="Times New Roman" w:hAnsi="Arial" w:cs="Arial"/>
          <w:color w:val="4D4D4D"/>
          <w:sz w:val="27"/>
          <w:szCs w:val="27"/>
          <w:lang w:eastAsia="cs-CZ"/>
        </w:rPr>
        <w:t xml:space="preserve">IČ: </w:t>
      </w:r>
      <w:r w:rsidR="00131D1B">
        <w:rPr>
          <w:rFonts w:ascii="Arial" w:eastAsia="Times New Roman" w:hAnsi="Arial" w:cs="Arial"/>
          <w:color w:val="4D4D4D"/>
          <w:sz w:val="27"/>
          <w:szCs w:val="27"/>
          <w:lang w:eastAsia="cs-CZ"/>
        </w:rPr>
        <w:t>709 958 51</w:t>
      </w:r>
      <w:bookmarkStart w:id="0" w:name="_GoBack"/>
      <w:bookmarkEnd w:id="0"/>
    </w:p>
    <w:p w:rsidR="00DA3240" w:rsidRDefault="00DA3240"/>
    <w:sectPr w:rsidR="00DA3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35D7C"/>
    <w:multiLevelType w:val="multilevel"/>
    <w:tmpl w:val="595A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F3912"/>
    <w:multiLevelType w:val="multilevel"/>
    <w:tmpl w:val="700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D6A68"/>
    <w:multiLevelType w:val="multilevel"/>
    <w:tmpl w:val="B446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B0EB7"/>
    <w:multiLevelType w:val="multilevel"/>
    <w:tmpl w:val="7372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F33A0"/>
    <w:multiLevelType w:val="multilevel"/>
    <w:tmpl w:val="9F74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16466"/>
    <w:multiLevelType w:val="multilevel"/>
    <w:tmpl w:val="DD4C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76242"/>
    <w:multiLevelType w:val="multilevel"/>
    <w:tmpl w:val="88B0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A21BE"/>
    <w:multiLevelType w:val="multilevel"/>
    <w:tmpl w:val="560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AC259A"/>
    <w:multiLevelType w:val="multilevel"/>
    <w:tmpl w:val="5CB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6C"/>
    <w:rsid w:val="00131D1B"/>
    <w:rsid w:val="00CB526C"/>
    <w:rsid w:val="00DA32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E269"/>
  <w15:chartTrackingRefBased/>
  <w15:docId w15:val="{6D00AD97-B683-4210-B30C-99F6A271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52929">
      <w:bodyDiv w:val="1"/>
      <w:marLeft w:val="0"/>
      <w:marRight w:val="0"/>
      <w:marTop w:val="0"/>
      <w:marBottom w:val="0"/>
      <w:divBdr>
        <w:top w:val="none" w:sz="0" w:space="0" w:color="auto"/>
        <w:left w:val="none" w:sz="0" w:space="0" w:color="auto"/>
        <w:bottom w:val="none" w:sz="0" w:space="0" w:color="auto"/>
        <w:right w:val="none" w:sz="0" w:space="0" w:color="auto"/>
      </w:divBdr>
      <w:divsChild>
        <w:div w:id="1778794770">
          <w:marLeft w:val="0"/>
          <w:marRight w:val="0"/>
          <w:marTop w:val="0"/>
          <w:marBottom w:val="0"/>
          <w:divBdr>
            <w:top w:val="none" w:sz="0" w:space="0" w:color="auto"/>
            <w:left w:val="none" w:sz="0" w:space="0" w:color="auto"/>
            <w:bottom w:val="none" w:sz="0" w:space="0" w:color="auto"/>
            <w:right w:val="none" w:sz="0" w:space="0" w:color="auto"/>
          </w:divBdr>
          <w:divsChild>
            <w:div w:id="6159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1643</Words>
  <Characters>9696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2024-12-13T11:53:00Z</dcterms:created>
  <dcterms:modified xsi:type="dcterms:W3CDTF">2024-12-13T12:18:00Z</dcterms:modified>
</cp:coreProperties>
</file>